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126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пресвитером</w:t>
      </w:r>
      <w:r>
        <w:rPr>
          <w:rFonts w:ascii="Times New Roman" w:eastAsia="Times New Roman" w:hAnsi="Times New Roman" w:cs="Times New Roman"/>
        </w:rPr>
        <w:t xml:space="preserve">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 Большая Логовая, д.51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информацией о неисполнении налоговых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